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BC1" w:rsidRDefault="00C87BC1" w:rsidP="00C87BC1">
      <w:pPr>
        <w:pStyle w:val="a6"/>
        <w:spacing w:line="300" w:lineRule="exact"/>
        <w:rPr>
          <w:rFonts w:ascii="微软雅黑" w:eastAsia="微软雅黑" w:hAnsi="微软雅黑" w:hint="default"/>
          <w:color w:val="C00000"/>
          <w:sz w:val="24"/>
          <w:szCs w:val="24"/>
        </w:rPr>
      </w:pPr>
    </w:p>
    <w:p w:rsidR="007830AF" w:rsidRPr="00C87BC1" w:rsidRDefault="009A4B57" w:rsidP="00C87BC1">
      <w:pPr>
        <w:pStyle w:val="a6"/>
        <w:spacing w:line="300" w:lineRule="exact"/>
        <w:rPr>
          <w:rFonts w:ascii="微软雅黑" w:eastAsia="微软雅黑" w:hAnsi="微软雅黑" w:hint="default"/>
          <w:color w:val="C00000"/>
          <w:sz w:val="24"/>
          <w:szCs w:val="24"/>
        </w:rPr>
      </w:pPr>
      <w:r w:rsidRPr="00C87BC1">
        <w:rPr>
          <w:rFonts w:ascii="微软雅黑" w:eastAsia="微软雅黑" w:hAnsi="微软雅黑"/>
          <w:color w:val="C00000"/>
          <w:sz w:val="24"/>
          <w:szCs w:val="24"/>
        </w:rPr>
        <w:t>中华人民共和国最高人民法院</w:t>
      </w:r>
    </w:p>
    <w:p w:rsidR="007830AF" w:rsidRDefault="009A4B57" w:rsidP="00C87BC1">
      <w:pPr>
        <w:pStyle w:val="a6"/>
        <w:spacing w:line="300" w:lineRule="exact"/>
        <w:rPr>
          <w:rFonts w:ascii="微软雅黑" w:eastAsia="微软雅黑" w:hAnsi="微软雅黑" w:hint="default"/>
          <w:color w:val="C00000"/>
          <w:sz w:val="24"/>
          <w:szCs w:val="24"/>
        </w:rPr>
      </w:pPr>
      <w:r w:rsidRPr="00C87BC1">
        <w:rPr>
          <w:rFonts w:ascii="微软雅黑" w:eastAsia="微软雅黑" w:hAnsi="微软雅黑"/>
          <w:color w:val="C00000"/>
          <w:sz w:val="24"/>
          <w:szCs w:val="24"/>
        </w:rPr>
        <w:t>公    告</w:t>
      </w:r>
    </w:p>
    <w:p w:rsidR="00EF1CE1" w:rsidRPr="00C87BC1" w:rsidRDefault="00EF1CE1" w:rsidP="00C87BC1">
      <w:pPr>
        <w:pStyle w:val="a6"/>
        <w:spacing w:line="300" w:lineRule="exact"/>
        <w:rPr>
          <w:rFonts w:ascii="微软雅黑" w:eastAsia="微软雅黑" w:hAnsi="微软雅黑"/>
          <w:color w:val="C00000"/>
          <w:sz w:val="24"/>
          <w:szCs w:val="24"/>
        </w:rPr>
      </w:pPr>
    </w:p>
    <w:p w:rsidR="00EF1CE1" w:rsidRPr="00EF1CE1" w:rsidRDefault="00EF1CE1" w:rsidP="00EF1CE1">
      <w:pPr>
        <w:widowControl/>
        <w:spacing w:line="280" w:lineRule="exact"/>
        <w:jc w:val="left"/>
        <w:rPr>
          <w:rFonts w:ascii="宋体" w:hAnsi="宋体" w:cs="宋体"/>
          <w:kern w:val="0"/>
          <w:sz w:val="24"/>
        </w:rPr>
      </w:pPr>
      <w:r w:rsidRPr="00EF1CE1">
        <w:rPr>
          <w:rFonts w:ascii="微软雅黑" w:eastAsia="微软雅黑" w:hAnsi="微软雅黑" w:cs="宋体" w:hint="eastAsia"/>
          <w:color w:val="2F2F2F"/>
          <w:kern w:val="0"/>
          <w:sz w:val="24"/>
          <w:shd w:val="clear" w:color="auto" w:fill="FFFFFF"/>
        </w:rPr>
        <w:t>       《最高人民法院关于适用〈中华人民共和国涉外民事关系法律适用法〉若干问题的解释（一）》已于2012年12月10日由最高人民法院审判委员会第1563次会议通过，现予公布，自2013年1月7日起施行。</w:t>
      </w:r>
    </w:p>
    <w:p w:rsidR="00EF1CE1" w:rsidRPr="00EF1CE1" w:rsidRDefault="00EF1CE1" w:rsidP="00EF1CE1">
      <w:pPr>
        <w:widowControl/>
        <w:shd w:val="clear" w:color="auto" w:fill="FFFFFF"/>
        <w:spacing w:line="280" w:lineRule="exact"/>
        <w:ind w:firstLine="5100"/>
        <w:jc w:val="right"/>
        <w:rPr>
          <w:rFonts w:ascii="微软雅黑" w:eastAsia="微软雅黑" w:hAnsi="微软雅黑" w:cs="宋体"/>
          <w:color w:val="2F2F2F"/>
          <w:kern w:val="0"/>
          <w:sz w:val="24"/>
        </w:rPr>
      </w:pPr>
      <w:r w:rsidRPr="00EF1CE1">
        <w:rPr>
          <w:rFonts w:ascii="微软雅黑" w:eastAsia="微软雅黑" w:hAnsi="微软雅黑" w:cs="宋体" w:hint="eastAsia"/>
          <w:color w:val="2F2F2F"/>
          <w:kern w:val="0"/>
          <w:sz w:val="24"/>
        </w:rPr>
        <w:t>最高人民法院</w:t>
      </w:r>
    </w:p>
    <w:p w:rsidR="00EF1CE1" w:rsidRPr="00EF1CE1" w:rsidRDefault="00EF1CE1" w:rsidP="00EF1CE1">
      <w:pPr>
        <w:widowControl/>
        <w:shd w:val="clear" w:color="auto" w:fill="FFFFFF"/>
        <w:spacing w:line="280" w:lineRule="exact"/>
        <w:ind w:firstLine="4800"/>
        <w:jc w:val="righ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2012年12月28日</w:t>
      </w:r>
    </w:p>
    <w:p w:rsidR="00EF1CE1" w:rsidRPr="00EF1CE1" w:rsidRDefault="00EF1CE1" w:rsidP="00EF1CE1">
      <w:pPr>
        <w:widowControl/>
        <w:shd w:val="clear" w:color="auto" w:fill="FFFFFF"/>
        <w:spacing w:after="150" w:line="28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 </w:t>
      </w:r>
    </w:p>
    <w:p w:rsidR="00EF1CE1" w:rsidRPr="00EF1CE1" w:rsidRDefault="00EF1CE1" w:rsidP="00EF1CE1">
      <w:pPr>
        <w:widowControl/>
        <w:shd w:val="clear" w:color="auto" w:fill="FFFFFF"/>
        <w:spacing w:line="280" w:lineRule="exact"/>
        <w:jc w:val="center"/>
        <w:rPr>
          <w:rFonts w:ascii="微软雅黑" w:eastAsia="微软雅黑" w:hAnsi="微软雅黑" w:cs="宋体" w:hint="eastAsia"/>
          <w:color w:val="2F2F2F"/>
          <w:kern w:val="0"/>
          <w:sz w:val="24"/>
        </w:rPr>
      </w:pPr>
    </w:p>
    <w:p w:rsidR="00EF1CE1" w:rsidRPr="00EF1CE1" w:rsidRDefault="00EF1CE1" w:rsidP="00EF1CE1">
      <w:pPr>
        <w:widowControl/>
        <w:shd w:val="clear" w:color="auto" w:fill="FFFFFF"/>
        <w:spacing w:line="600" w:lineRule="exact"/>
        <w:jc w:val="center"/>
        <w:rPr>
          <w:rFonts w:ascii="微软雅黑" w:eastAsia="微软雅黑" w:hAnsi="微软雅黑" w:cs="宋体" w:hint="eastAsia"/>
          <w:color w:val="7030A0"/>
          <w:kern w:val="0"/>
          <w:sz w:val="40"/>
          <w:szCs w:val="40"/>
        </w:rPr>
      </w:pPr>
      <w:r w:rsidRPr="00EF1CE1">
        <w:rPr>
          <w:rFonts w:ascii="微软雅黑" w:eastAsia="微软雅黑" w:hAnsi="微软雅黑" w:cs="宋体" w:hint="eastAsia"/>
          <w:b/>
          <w:bCs/>
          <w:color w:val="7030A0"/>
          <w:kern w:val="0"/>
          <w:sz w:val="40"/>
          <w:szCs w:val="40"/>
        </w:rPr>
        <w:t>最高人民法院关于适用</w:t>
      </w:r>
      <w:bookmarkStart w:id="0" w:name="_GoBack"/>
      <w:bookmarkEnd w:id="0"/>
    </w:p>
    <w:p w:rsidR="00EF1CE1" w:rsidRPr="00EF1CE1" w:rsidRDefault="00EF1CE1" w:rsidP="00EF1CE1">
      <w:pPr>
        <w:widowControl/>
        <w:shd w:val="clear" w:color="auto" w:fill="FFFFFF"/>
        <w:spacing w:line="600" w:lineRule="exact"/>
        <w:jc w:val="center"/>
        <w:rPr>
          <w:rFonts w:ascii="微软雅黑" w:eastAsia="微软雅黑" w:hAnsi="微软雅黑" w:cs="宋体" w:hint="eastAsia"/>
          <w:color w:val="7030A0"/>
          <w:kern w:val="0"/>
          <w:sz w:val="40"/>
          <w:szCs w:val="40"/>
        </w:rPr>
      </w:pPr>
      <w:r w:rsidRPr="00EF1CE1">
        <w:rPr>
          <w:rFonts w:ascii="微软雅黑" w:eastAsia="微软雅黑" w:hAnsi="微软雅黑" w:cs="宋体" w:hint="eastAsia"/>
          <w:b/>
          <w:bCs/>
          <w:color w:val="7030A0"/>
          <w:kern w:val="0"/>
          <w:sz w:val="40"/>
          <w:szCs w:val="40"/>
        </w:rPr>
        <w:t>《中华人民共和国涉外民事关系法律适用法》</w:t>
      </w:r>
    </w:p>
    <w:p w:rsidR="00EF1CE1" w:rsidRPr="00EF1CE1" w:rsidRDefault="00EF1CE1" w:rsidP="00EF1CE1">
      <w:pPr>
        <w:widowControl/>
        <w:shd w:val="clear" w:color="auto" w:fill="FFFFFF"/>
        <w:spacing w:line="600" w:lineRule="exact"/>
        <w:jc w:val="center"/>
        <w:rPr>
          <w:rFonts w:ascii="微软雅黑" w:eastAsia="微软雅黑" w:hAnsi="微软雅黑" w:cs="宋体"/>
          <w:b/>
          <w:bCs/>
          <w:color w:val="7030A0"/>
          <w:kern w:val="0"/>
          <w:sz w:val="40"/>
          <w:szCs w:val="40"/>
        </w:rPr>
      </w:pPr>
      <w:r w:rsidRPr="00EF1CE1">
        <w:rPr>
          <w:rFonts w:ascii="微软雅黑" w:eastAsia="微软雅黑" w:hAnsi="微软雅黑" w:cs="宋体" w:hint="eastAsia"/>
          <w:b/>
          <w:bCs/>
          <w:color w:val="7030A0"/>
          <w:kern w:val="0"/>
          <w:sz w:val="40"/>
          <w:szCs w:val="40"/>
        </w:rPr>
        <w:t>若干问题的解释（一）</w:t>
      </w:r>
    </w:p>
    <w:p w:rsidR="00EF1CE1" w:rsidRDefault="00EF1CE1" w:rsidP="00EF1CE1">
      <w:pPr>
        <w:widowControl/>
        <w:shd w:val="clear" w:color="auto" w:fill="FFFFFF"/>
        <w:spacing w:line="280" w:lineRule="exact"/>
        <w:jc w:val="center"/>
        <w:rPr>
          <w:rFonts w:ascii="微软雅黑" w:eastAsia="微软雅黑" w:hAnsi="微软雅黑" w:cs="宋体"/>
          <w:color w:val="2F2F2F"/>
          <w:kern w:val="0"/>
          <w:sz w:val="24"/>
        </w:rPr>
      </w:pPr>
    </w:p>
    <w:p w:rsidR="00EF1CE1" w:rsidRDefault="00EF1CE1" w:rsidP="00EF1CE1">
      <w:pPr>
        <w:widowControl/>
        <w:shd w:val="clear" w:color="auto" w:fill="FFFFFF"/>
        <w:spacing w:line="280" w:lineRule="exact"/>
        <w:jc w:val="center"/>
        <w:rPr>
          <w:rFonts w:ascii="微软雅黑" w:eastAsia="微软雅黑" w:hAnsi="微软雅黑" w:cs="宋体"/>
          <w:color w:val="2F2F2F"/>
          <w:kern w:val="0"/>
          <w:sz w:val="24"/>
        </w:rPr>
      </w:pPr>
      <w:r>
        <w:rPr>
          <w:rFonts w:ascii="微软雅黑" w:eastAsia="微软雅黑" w:hAnsi="微软雅黑" w:cs="宋体" w:hint="eastAsia"/>
          <w:color w:val="2F2F2F"/>
          <w:kern w:val="0"/>
          <w:sz w:val="24"/>
        </w:rPr>
        <w:t>2013-01-07</w:t>
      </w:r>
    </w:p>
    <w:p w:rsidR="00EF1CE1" w:rsidRDefault="00EF1CE1" w:rsidP="00EF1CE1">
      <w:pPr>
        <w:widowControl/>
        <w:shd w:val="clear" w:color="auto" w:fill="FFFFFF"/>
        <w:spacing w:line="280" w:lineRule="exact"/>
        <w:jc w:val="center"/>
        <w:rPr>
          <w:rFonts w:ascii="微软雅黑" w:eastAsia="微软雅黑" w:hAnsi="微软雅黑" w:cs="宋体" w:hint="eastAsia"/>
          <w:color w:val="2F2F2F"/>
          <w:kern w:val="0"/>
          <w:sz w:val="24"/>
        </w:rPr>
      </w:pPr>
    </w:p>
    <w:p w:rsidR="00EF1CE1" w:rsidRDefault="00EF1CE1" w:rsidP="00EF1CE1">
      <w:pPr>
        <w:widowControl/>
        <w:shd w:val="clear" w:color="auto" w:fill="FFFFFF"/>
        <w:spacing w:line="280" w:lineRule="exact"/>
        <w:jc w:val="center"/>
        <w:rPr>
          <w:rFonts w:ascii="微软雅黑" w:eastAsia="微软雅黑" w:hAnsi="微软雅黑" w:cs="宋体"/>
          <w:color w:val="2F2F2F"/>
          <w:kern w:val="0"/>
          <w:sz w:val="24"/>
        </w:rPr>
      </w:pPr>
      <w:r w:rsidRPr="00EF1CE1">
        <w:rPr>
          <w:rFonts w:ascii="微软雅黑" w:eastAsia="微软雅黑" w:hAnsi="微软雅黑" w:cs="宋体" w:hint="eastAsia"/>
          <w:color w:val="2F2F2F"/>
          <w:kern w:val="0"/>
          <w:sz w:val="24"/>
        </w:rPr>
        <w:t>法释〔2012〕24号</w:t>
      </w:r>
    </w:p>
    <w:p w:rsidR="00EF1CE1" w:rsidRPr="00EF1CE1" w:rsidRDefault="00EF1CE1" w:rsidP="00EF1CE1">
      <w:pPr>
        <w:widowControl/>
        <w:shd w:val="clear" w:color="auto" w:fill="FFFFFF"/>
        <w:spacing w:line="280" w:lineRule="exact"/>
        <w:rPr>
          <w:rFonts w:ascii="微软雅黑" w:eastAsia="微软雅黑" w:hAnsi="微软雅黑" w:cs="宋体" w:hint="eastAsia"/>
          <w:color w:val="2F2F2F"/>
          <w:kern w:val="0"/>
          <w:sz w:val="24"/>
        </w:rPr>
      </w:pPr>
    </w:p>
    <w:p w:rsidR="00EF1CE1" w:rsidRPr="00EF1CE1" w:rsidRDefault="00EF1CE1" w:rsidP="00EF1CE1">
      <w:pPr>
        <w:widowControl/>
        <w:shd w:val="clear" w:color="auto" w:fill="FFFFFF"/>
        <w:spacing w:line="280" w:lineRule="exact"/>
        <w:jc w:val="center"/>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（2012年12月10日最高人民法院审判委员会第1563次会议通过）</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 </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为正确审理涉外民事案件，根据《中华人民共和国涉外民事关系法律适用法》的规定，对人民法院适用该法的有关问题解释如下：</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第一条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民事关系具有下列情形之一的，人民法院可以认定为涉外民事关系：</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（一）当事人一方或双方是外国公民、外国法人或者其他组织、无国籍人；</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（二）当事人一方或双方的经常居所地在中华人民共和国领域外；</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（三）标的物在中华人民共和国领域外；</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（四）产生、变更或者消灭民事关系的法律事实发生在中华人民共和国领域外；</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（五）可以认定为涉外民事关系的其他情形。</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第二条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涉外民事关系法律适用法实施以前发生的涉外民事关系，人民法院应当根据该涉外民事关系发生时的有关法律规定确定应当适用的法律；当时法律没有规定的，可以参照涉外民事关系法律适用法的规定确定。</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第三条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涉外民事关系法律适用法与其他法律对同一涉外民事关系法律适用规定不一致的，适用涉外民事关系法律适用法的规定，但《中华人民共和国票据法》、《中华人民共和国海商法》、《中华人民共和国民用航空法》等商</w:t>
      </w:r>
      <w:proofErr w:type="gramStart"/>
      <w:r w:rsidRPr="00EF1CE1">
        <w:rPr>
          <w:rFonts w:ascii="微软雅黑" w:eastAsia="微软雅黑" w:hAnsi="微软雅黑" w:cs="宋体" w:hint="eastAsia"/>
          <w:color w:val="2F2F2F"/>
          <w:kern w:val="0"/>
          <w:sz w:val="24"/>
        </w:rPr>
        <w:t>事领域</w:t>
      </w:r>
      <w:proofErr w:type="gramEnd"/>
      <w:r w:rsidRPr="00EF1CE1">
        <w:rPr>
          <w:rFonts w:ascii="微软雅黑" w:eastAsia="微软雅黑" w:hAnsi="微软雅黑" w:cs="宋体" w:hint="eastAsia"/>
          <w:color w:val="2F2F2F"/>
          <w:kern w:val="0"/>
          <w:sz w:val="24"/>
        </w:rPr>
        <w:t>法律的特别规定以及知识产权领域法律的特别规定除外。</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涉外民事关系法律适用法对涉外民事关系的法律适用没有规定而其他法律有规定的，适用其他法律的规定。</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第四条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涉外民事关系的法律适用涉及适用国际条约的，人民法院应当根据《中华人民共和国民法通则》第一百四十二条第二款以及《中华人民共和国票据法》第九十五条第一款、《中华人民共和国海商法》第二百六十八条第一款、《中华人民共和国民用航空法》第一百八十四条第一款等法律规定予以适用，但知识产权领域的国际条约已经转化或者需要转化为国内法律的除外。</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第五条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涉外民事关系的法律适用涉及适用国际惯例的，人民法院应当根据《中华人民共和国民法通则》第一百四十二条第三款以及《中华人民共和国票据法》第九十五条第二款、《中华人民共和国海商法》第二百六十八条第二款、《中华人民共和国民用航空法》第一百八十四条第二款等法律规定予以适用。</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lastRenderedPageBreak/>
        <w:t>第六条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中华人民共和国法律没有明确规定当事人可以选择涉外民事关系适用的法律，当事人选择适用法律的，人民法院应认定该选择无效。</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第七条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一方当事人以双方协议选择的法律与系争的涉外民事关系没有实际联系为由主张选择无效的，人民法院不予支持。</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第八条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当事人在一审法庭辩论终结前协议选择或者变更选择适用的法律的，人民法院应予准许。</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各方当事人援引相同国家的法律且未提出法律适用异议的，人民法院可以认定当事人已经就涉外民事关系适用的法律做出了选择。</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第九条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当事人在合同中援引尚未对中华人民共和国生效的国际条约的，人民法院可以根据该国际条约的内容确定当事人之间的权利义务，但违反中华人民共和国社会公共利益或中华人民共和国法律、行政法规强制性规定的除外。</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有下列情形之一，涉及中华人民共和国社会公共利益、当事人不能通过约定排除适用、无需通过冲突规范指引而直接适用于涉外民事关系的法律、行政法规的规定，人民法院应当认定为涉外民事关系法律适用法第四条规定的强制性规定：</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（一）涉及劳动者权益保护的；</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（二）涉及食品或公共卫生安全的；</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（三）涉及环境安全的；</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（四）涉及外汇管制等金融安全的；</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（五）涉及反垄断、反倾销的；</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（六）应当认定为强制性规定的其他情形。</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第十一条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一方当事人故意制造涉外民事关系的连结点，规避中华人民共和国法律、行政法规的强制性规定的，人民法院应认定为不发生适用外国法律的效力。</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第十二条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涉外民事争议的解决须以另一涉外民事关系的确认为前提时，人民法院应当根据该先决问题自身的性质确定其应当适用的法律。</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第十三条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案件涉及两个或者两个以上的涉外民事关系时，人民法院应当分别确定应当适用的法律。</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第十四条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当事人没有选择涉外仲裁协议适用的法律，也没有约定仲裁机构或者仲裁地，或者约定不明的，人民法院可以适用中华人民共和国法律认定该仲裁协议的效力。</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第十五条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自然人在涉外民事关系产生或者变更、终止时已经连续居住一年以上且作为其生活中心的地方，人民法院可以认定为涉外民事关系法律适用法规定的自然人的经常居所地，但就医、劳务派遣、公务等情形除外。</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第十六条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人民法院应当将法人的设立登记地认定为涉外民事关系法律适用法规定的法人的登记地。</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第十七条</w:t>
      </w:r>
      <w:r w:rsidR="00E42CA3">
        <w:rPr>
          <w:rFonts w:ascii="微软雅黑" w:eastAsia="微软雅黑" w:hAnsi="微软雅黑" w:cs="宋体" w:hint="eastAsia"/>
          <w:b/>
          <w:bCs/>
          <w:color w:val="2F2F2F"/>
          <w:kern w:val="0"/>
          <w:sz w:val="24"/>
        </w:rPr>
        <w:t xml:space="preserve"> </w:t>
      </w:r>
      <w:r w:rsidRPr="00EF1CE1">
        <w:rPr>
          <w:rFonts w:ascii="微软雅黑" w:eastAsia="微软雅黑" w:hAnsi="微软雅黑" w:cs="宋体" w:hint="eastAsia"/>
          <w:color w:val="2F2F2F"/>
          <w:kern w:val="0"/>
          <w:sz w:val="24"/>
        </w:rPr>
        <w:t> 人民法院通过由当事人提供、已对中华人民共和国生效的国际条约规定的途径、中外法律专家提供等合理途径仍不能获得外国法律的，可以认定为不能查明外国法律。</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color w:val="2F2F2F"/>
          <w:kern w:val="0"/>
          <w:sz w:val="24"/>
        </w:rPr>
        <w:t>根据涉外民事关系法律适用法第十条第一款的规定，当事人应当提供外国法律，其在人民法院指定的合理期限内无正当理由未提供该外国法律的，可以认定为不能查明外国法律。</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第十八条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人民法院应当听取各方当事人对应当适用的外国法律的内容及其理解与适用的意见，当事人对该外国法律的内容及其理解与适用均无异议的，人民法院可以予以确认；当事人有异议的，由人民法院审查认定。</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第十九条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涉及香港特别行政区、澳门特别行政区的民事关系的法律适用问题，参照适用本规定。</w:t>
      </w:r>
    </w:p>
    <w:p w:rsidR="00EF1CE1"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第二十条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涉外民事关系法律适用法施行后发生的涉外民事纠纷案件，本解释施行后尚未终审的，适用本解释；本解释施行前已经终审，当事人申请再审或者按照审判监督程序决定再审的，不适用本解释。</w:t>
      </w:r>
    </w:p>
    <w:p w:rsidR="007830AF" w:rsidRPr="00EF1CE1" w:rsidRDefault="00EF1CE1" w:rsidP="00EF1CE1">
      <w:pPr>
        <w:widowControl/>
        <w:shd w:val="clear" w:color="auto" w:fill="FFFFFF"/>
        <w:spacing w:line="320" w:lineRule="exact"/>
        <w:ind w:firstLine="600"/>
        <w:jc w:val="left"/>
        <w:rPr>
          <w:rFonts w:ascii="微软雅黑" w:eastAsia="微软雅黑" w:hAnsi="微软雅黑" w:cs="宋体" w:hint="eastAsia"/>
          <w:color w:val="2F2F2F"/>
          <w:kern w:val="0"/>
          <w:sz w:val="24"/>
        </w:rPr>
      </w:pPr>
      <w:r w:rsidRPr="00EF1CE1">
        <w:rPr>
          <w:rFonts w:ascii="微软雅黑" w:eastAsia="微软雅黑" w:hAnsi="微软雅黑" w:cs="宋体" w:hint="eastAsia"/>
          <w:b/>
          <w:bCs/>
          <w:color w:val="2F2F2F"/>
          <w:kern w:val="0"/>
          <w:sz w:val="24"/>
        </w:rPr>
        <w:t>第二十一条</w:t>
      </w:r>
      <w:r w:rsidRPr="00EF1CE1">
        <w:rPr>
          <w:rFonts w:ascii="微软雅黑" w:eastAsia="微软雅黑" w:hAnsi="微软雅黑" w:cs="宋体" w:hint="eastAsia"/>
          <w:color w:val="2F2F2F"/>
          <w:kern w:val="0"/>
          <w:sz w:val="24"/>
        </w:rPr>
        <w:t> </w:t>
      </w:r>
      <w:r w:rsidR="00E42CA3">
        <w:rPr>
          <w:rFonts w:ascii="微软雅黑" w:eastAsia="微软雅黑" w:hAnsi="微软雅黑" w:cs="宋体"/>
          <w:color w:val="2F2F2F"/>
          <w:kern w:val="0"/>
          <w:sz w:val="24"/>
        </w:rPr>
        <w:t xml:space="preserve"> </w:t>
      </w:r>
      <w:r w:rsidRPr="00EF1CE1">
        <w:rPr>
          <w:rFonts w:ascii="微软雅黑" w:eastAsia="微软雅黑" w:hAnsi="微软雅黑" w:cs="宋体" w:hint="eastAsia"/>
          <w:color w:val="2F2F2F"/>
          <w:kern w:val="0"/>
          <w:sz w:val="24"/>
        </w:rPr>
        <w:t>本院以前发布的司法解释与本解释不一致的，以本解释为准。</w:t>
      </w:r>
    </w:p>
    <w:sectPr w:rsidR="007830AF" w:rsidRPr="00EF1CE1" w:rsidSect="00C87BC1">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4BB" w:rsidRDefault="007D04BB" w:rsidP="007830AF">
      <w:r>
        <w:separator/>
      </w:r>
    </w:p>
  </w:endnote>
  <w:endnote w:type="continuationSeparator" w:id="0">
    <w:p w:rsidR="007D04BB" w:rsidRDefault="007D04BB" w:rsidP="0078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AF" w:rsidRDefault="007D04B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289.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830AF" w:rsidRDefault="009A4B57">
                <w:pPr>
                  <w:pStyle w:val="a3"/>
                  <w:ind w:leftChars="100" w:left="210"/>
                  <w:jc w:val="both"/>
                  <w:rPr>
                    <w:rFonts w:ascii="宋体" w:hAnsi="宋体" w:cs="宋体"/>
                    <w:sz w:val="28"/>
                    <w:szCs w:val="28"/>
                  </w:rPr>
                </w:pPr>
                <w:r>
                  <w:rPr>
                    <w:rFonts w:ascii="宋体" w:hAnsi="宋体" w:cs="宋体" w:hint="eastAsia"/>
                    <w:sz w:val="28"/>
                    <w:szCs w:val="28"/>
                  </w:rPr>
                  <w:t xml:space="preserve">－ </w:t>
                </w:r>
                <w:r w:rsidR="007830A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830AF">
                  <w:rPr>
                    <w:rFonts w:ascii="宋体" w:hAnsi="宋体" w:cs="宋体" w:hint="eastAsia"/>
                    <w:sz w:val="28"/>
                    <w:szCs w:val="28"/>
                  </w:rPr>
                  <w:fldChar w:fldCharType="separate"/>
                </w:r>
                <w:r w:rsidR="00C24575">
                  <w:rPr>
                    <w:rFonts w:ascii="宋体" w:hAnsi="宋体" w:cs="宋体"/>
                    <w:noProof/>
                    <w:sz w:val="28"/>
                    <w:szCs w:val="28"/>
                  </w:rPr>
                  <w:t>2</w:t>
                </w:r>
                <w:r w:rsidR="007830A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AF" w:rsidRDefault="007D04B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4.25pt;margin-top:-3.7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7830AF" w:rsidRDefault="009A4B5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830A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830AF">
                  <w:rPr>
                    <w:rFonts w:ascii="宋体" w:hAnsi="宋体" w:cs="宋体" w:hint="eastAsia"/>
                    <w:sz w:val="28"/>
                    <w:szCs w:val="28"/>
                  </w:rPr>
                  <w:fldChar w:fldCharType="separate"/>
                </w:r>
                <w:r w:rsidR="00C24575">
                  <w:rPr>
                    <w:rFonts w:ascii="宋体" w:hAnsi="宋体" w:cs="宋体"/>
                    <w:noProof/>
                    <w:sz w:val="28"/>
                    <w:szCs w:val="28"/>
                  </w:rPr>
                  <w:t>1</w:t>
                </w:r>
                <w:r w:rsidR="007830A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4BB" w:rsidRDefault="007D04BB" w:rsidP="007830AF">
      <w:r>
        <w:separator/>
      </w:r>
    </w:p>
  </w:footnote>
  <w:footnote w:type="continuationSeparator" w:id="0">
    <w:p w:rsidR="007D04BB" w:rsidRDefault="007D04BB" w:rsidP="00783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FFA7D5E"/>
    <w:rsid w:val="000475BD"/>
    <w:rsid w:val="00323D76"/>
    <w:rsid w:val="007830AF"/>
    <w:rsid w:val="007D04BB"/>
    <w:rsid w:val="009A4B57"/>
    <w:rsid w:val="00C24575"/>
    <w:rsid w:val="00C87BC1"/>
    <w:rsid w:val="00E42CA3"/>
    <w:rsid w:val="00EF1CE1"/>
    <w:rsid w:val="02380A4E"/>
    <w:rsid w:val="02C54CFB"/>
    <w:rsid w:val="042F174E"/>
    <w:rsid w:val="0751543E"/>
    <w:rsid w:val="0BE369DE"/>
    <w:rsid w:val="0C790CDC"/>
    <w:rsid w:val="0F9D48A9"/>
    <w:rsid w:val="0FC66F39"/>
    <w:rsid w:val="135B4974"/>
    <w:rsid w:val="19EF53F7"/>
    <w:rsid w:val="1C547AC8"/>
    <w:rsid w:val="20194FCD"/>
    <w:rsid w:val="211007F7"/>
    <w:rsid w:val="224D5C1E"/>
    <w:rsid w:val="28B53323"/>
    <w:rsid w:val="2A2F608A"/>
    <w:rsid w:val="2A483D38"/>
    <w:rsid w:val="2A844039"/>
    <w:rsid w:val="2CFE6EE4"/>
    <w:rsid w:val="2D725F92"/>
    <w:rsid w:val="302E782D"/>
    <w:rsid w:val="325C564C"/>
    <w:rsid w:val="36AE6775"/>
    <w:rsid w:val="38787F7C"/>
    <w:rsid w:val="39191BFA"/>
    <w:rsid w:val="3D671889"/>
    <w:rsid w:val="3D717517"/>
    <w:rsid w:val="3FBC61B7"/>
    <w:rsid w:val="3FFA7D5E"/>
    <w:rsid w:val="400F48F0"/>
    <w:rsid w:val="4AEF215E"/>
    <w:rsid w:val="4DA15956"/>
    <w:rsid w:val="4E7D2A86"/>
    <w:rsid w:val="501B3EB2"/>
    <w:rsid w:val="5027117E"/>
    <w:rsid w:val="52FA52E5"/>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3ABA32F"/>
  <w15:docId w15:val="{F0E547A7-BBE7-4C9A-9D05-983F3519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30A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830AF"/>
    <w:pPr>
      <w:tabs>
        <w:tab w:val="center" w:pos="4153"/>
        <w:tab w:val="right" w:pos="8306"/>
      </w:tabs>
      <w:snapToGrid w:val="0"/>
      <w:jc w:val="left"/>
    </w:pPr>
    <w:rPr>
      <w:sz w:val="18"/>
    </w:rPr>
  </w:style>
  <w:style w:type="paragraph" w:styleId="a4">
    <w:name w:val="header"/>
    <w:basedOn w:val="a"/>
    <w:qFormat/>
    <w:rsid w:val="007830A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7830AF"/>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7830AF"/>
    <w:pPr>
      <w:spacing w:line="560" w:lineRule="exact"/>
      <w:jc w:val="center"/>
    </w:pPr>
    <w:rPr>
      <w:rFonts w:ascii="宋体" w:hAnsi="宋体" w:cs="宋体" w:hint="eastAsia"/>
      <w:sz w:val="44"/>
      <w:szCs w:val="44"/>
    </w:rPr>
  </w:style>
  <w:style w:type="paragraph" w:customStyle="1" w:styleId="a7">
    <w:name w:val="表字居中"/>
    <w:basedOn w:val="a"/>
    <w:qFormat/>
    <w:rsid w:val="007830AF"/>
    <w:pPr>
      <w:spacing w:line="560" w:lineRule="exact"/>
      <w:jc w:val="center"/>
    </w:pPr>
    <w:rPr>
      <w:rFonts w:ascii="宋体" w:hAnsi="宋体" w:cs="宋体"/>
      <w:szCs w:val="21"/>
    </w:rPr>
  </w:style>
  <w:style w:type="paragraph" w:customStyle="1" w:styleId="a8">
    <w:name w:val="一、"/>
    <w:basedOn w:val="a"/>
    <w:qFormat/>
    <w:rsid w:val="007830AF"/>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7830AF"/>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7830AF"/>
    <w:pPr>
      <w:spacing w:line="560" w:lineRule="exact"/>
      <w:jc w:val="left"/>
    </w:pPr>
    <w:rPr>
      <w:rFonts w:ascii="黑体" w:eastAsia="黑体" w:hAnsi="黑体" w:cs="黑体"/>
      <w:sz w:val="32"/>
      <w:szCs w:val="32"/>
    </w:rPr>
  </w:style>
  <w:style w:type="paragraph" w:customStyle="1" w:styleId="ab">
    <w:name w:val="正文字体"/>
    <w:basedOn w:val="a"/>
    <w:qFormat/>
    <w:rsid w:val="007830AF"/>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7830AF"/>
    <w:pPr>
      <w:spacing w:line="560" w:lineRule="exact"/>
      <w:jc w:val="center"/>
    </w:pPr>
    <w:rPr>
      <w:rFonts w:ascii="黑体" w:eastAsia="黑体" w:hAnsi="黑体" w:cs="黑体"/>
      <w:sz w:val="32"/>
      <w:szCs w:val="32"/>
    </w:rPr>
  </w:style>
  <w:style w:type="paragraph" w:customStyle="1" w:styleId="ad">
    <w:name w:val="（一）"/>
    <w:basedOn w:val="a"/>
    <w:rsid w:val="007830AF"/>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7830AF"/>
    <w:pPr>
      <w:spacing w:line="560" w:lineRule="exact"/>
      <w:jc w:val="left"/>
    </w:pPr>
    <w:rPr>
      <w:rFonts w:ascii="宋体" w:hAnsi="宋体" w:cs="宋体"/>
      <w:szCs w:val="21"/>
    </w:rPr>
  </w:style>
  <w:style w:type="paragraph" w:customStyle="1" w:styleId="af">
    <w:name w:val="修改废止公布内容"/>
    <w:basedOn w:val="a"/>
    <w:qFormat/>
    <w:rsid w:val="007830AF"/>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7830AF"/>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7830AF"/>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7830AF"/>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7830AF"/>
    <w:pPr>
      <w:spacing w:line="560" w:lineRule="exact"/>
      <w:jc w:val="center"/>
    </w:pPr>
    <w:rPr>
      <w:rFonts w:ascii="宋体" w:hAnsi="宋体" w:cs="宋体"/>
      <w:sz w:val="32"/>
      <w:szCs w:val="32"/>
    </w:rPr>
  </w:style>
  <w:style w:type="paragraph" w:customStyle="1" w:styleId="af4">
    <w:name w:val="抬头"/>
    <w:basedOn w:val="ab"/>
    <w:qFormat/>
    <w:rsid w:val="007830AF"/>
    <w:pPr>
      <w:ind w:firstLineChars="0" w:firstLine="0"/>
      <w:jc w:val="left"/>
    </w:pPr>
  </w:style>
  <w:style w:type="paragraph" w:customStyle="1" w:styleId="af5">
    <w:name w:val="日期文号"/>
    <w:basedOn w:val="ab"/>
    <w:qFormat/>
    <w:rsid w:val="007830AF"/>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7830AF"/>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7830AF"/>
    <w:pPr>
      <w:spacing w:line="560" w:lineRule="exact"/>
      <w:jc w:val="center"/>
    </w:pPr>
    <w:rPr>
      <w:rFonts w:ascii="黑体" w:eastAsia="黑体" w:hAnsi="黑体" w:cs="黑体"/>
      <w:szCs w:val="21"/>
    </w:rPr>
  </w:style>
  <w:style w:type="character" w:customStyle="1" w:styleId="af7">
    <w:name w:val="条文"/>
    <w:basedOn w:val="a0"/>
    <w:qFormat/>
    <w:rsid w:val="007830AF"/>
    <w:rPr>
      <w:rFonts w:ascii="黑体" w:eastAsia="黑体" w:hAnsi="黑体" w:cs="黑体"/>
      <w:sz w:val="32"/>
      <w:szCs w:val="32"/>
    </w:rPr>
  </w:style>
  <w:style w:type="paragraph" w:styleId="af8">
    <w:name w:val="Date"/>
    <w:basedOn w:val="a"/>
    <w:next w:val="a"/>
    <w:link w:val="af9"/>
    <w:rsid w:val="00C24575"/>
    <w:pPr>
      <w:ind w:leftChars="2500" w:left="100"/>
    </w:pPr>
  </w:style>
  <w:style w:type="character" w:customStyle="1" w:styleId="af9">
    <w:name w:val="日期 字符"/>
    <w:basedOn w:val="a0"/>
    <w:link w:val="af8"/>
    <w:rsid w:val="00C245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36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9</TotalTime>
  <Pages>2</Pages>
  <Words>363</Words>
  <Characters>2073</Characters>
  <Application>Microsoft Office Word</Application>
  <DocSecurity>0</DocSecurity>
  <Lines>17</Lines>
  <Paragraphs>4</Paragraphs>
  <ScaleCrop>false</ScaleCrop>
  <Company>Newdaxie</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2017-11-02T10:19:00Z</dcterms:created>
  <dcterms:modified xsi:type="dcterms:W3CDTF">2025-11-21T02:46:00Z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